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Times New Roman"/>
          <w:color w:val="333333"/>
          <w:sz w:val="24"/>
          <w:szCs w:val="24"/>
          <w:shd w:val="clear" w:color="auto" w:fill="FFFFFF"/>
        </w:rPr>
      </w:pPr>
      <w:r>
        <w:rPr>
          <w:rFonts w:cs="Times New Roman"/>
          <w:color w:val="333333"/>
          <w:sz w:val="24"/>
          <w:szCs w:val="24"/>
          <w:shd w:val="clear" w:color="auto" w:fill="FFFFFF"/>
        </w:rPr>
        <w:t>Theo Điều 10 Nghị định 10/2022/NĐ-CP, 31 trường hợp được miễn lệ phí trước bạ bao gồm:</w:t>
      </w:r>
    </w:p>
    <w:p>
      <w:pPr>
        <w:rPr>
          <w:rFonts w:cs="Times New Roman"/>
          <w:color w:val="333333"/>
          <w:sz w:val="24"/>
          <w:szCs w:val="24"/>
          <w:shd w:val="clear" w:color="auto" w:fill="FFFFFF"/>
        </w:rPr>
      </w:pPr>
      <w:r>
        <w:rPr>
          <w:rFonts w:cs="Times New Roman"/>
          <w:color w:val="333333"/>
          <w:sz w:val="24"/>
          <w:szCs w:val="24"/>
          <w:shd w:val="clear" w:color="auto" w:fill="FFFFFF"/>
        </w:rPr>
        <w:t>1. Nhà, đất là trụ sở của cơ quan Đại diện ngoại giao, cơ quan Lãnh sự, cơ quan Đại diện của tổ chức quốc tế thuộc hệ thống Liên hợp quốc và nhà ở của người đứng đầu cơ quan Đại diện ngoại giao, cơ quan Lãnh sự, cơ quan Đại diện của tổ chức quốc tế thuộc hệ thống Liên hợp quốc tại Việt Nam.</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2. Tài sản (trừ nhà, đất) của tổ chức, cá nhân nước ngoài sau đây:</w:t>
      </w:r>
    </w:p>
    <w:p>
      <w:pPr>
        <w:pStyle w:val="ListParagraph"/>
        <w:numPr>
          <w:ilvl w:val="0"/>
          <w:numId w:val="1"/>
        </w:numPr>
        <w:rPr>
          <w:rFonts w:cs="Times New Roman"/>
          <w:color w:val="333333"/>
          <w:sz w:val="24"/>
          <w:szCs w:val="24"/>
          <w:shd w:val="clear" w:color="auto" w:fill="FFFFFF"/>
        </w:rPr>
      </w:pPr>
      <w:r>
        <w:rPr>
          <w:rFonts w:cs="Times New Roman"/>
          <w:color w:val="333333"/>
          <w:sz w:val="24"/>
          <w:szCs w:val="24"/>
          <w:shd w:val="clear" w:color="auto" w:fill="FFFFFF"/>
        </w:rPr>
        <w:t>Cơ quan Đại diện ngoại giao, cơ quan Lãnh sự, cơ quan Đại điện của tổ chức quốc tế thuộc hệ thống Liên hợp quốc.</w:t>
      </w:r>
    </w:p>
    <w:p>
      <w:pPr>
        <w:pStyle w:val="ListParagraph"/>
        <w:numPr>
          <w:ilvl w:val="0"/>
          <w:numId w:val="1"/>
        </w:numPr>
        <w:rPr>
          <w:rFonts w:cs="Times New Roman"/>
          <w:color w:val="333333"/>
          <w:sz w:val="24"/>
          <w:szCs w:val="24"/>
          <w:shd w:val="clear" w:color="auto" w:fill="FFFFFF"/>
        </w:rPr>
      </w:pPr>
      <w:r>
        <w:rPr>
          <w:rFonts w:cs="Times New Roman"/>
          <w:color w:val="333333"/>
          <w:sz w:val="24"/>
          <w:szCs w:val="24"/>
          <w:shd w:val="clear" w:color="auto" w:fill="FFFFFF"/>
        </w:rPr>
        <w:t>Viên chức ngoại giao, viên chức lãnh sự, nhân viên hành chính kỹ thuật của cơ quan Đại diện ngoại giao, cơ quan Lãnh sự, thành viên cơ quan Đại diện của tổ chức quốc tế thuộc hệ thống Liên hợp quốc và thành viên của gia đình họ không phải là công dân Việt Nam hoặc không thường trú tại Việt Nam được Bộ Ngoại giao Việt Nam cấp chứng minh thư ngoại giao hoặc chứng minh thư công vụ.</w:t>
      </w:r>
      <w:r>
        <w:rPr>
          <w:rFonts w:cs="Times New Roman"/>
          <w:color w:val="333333"/>
          <w:sz w:val="24"/>
          <w:szCs w:val="24"/>
        </w:rPr>
        <w:br/>
      </w:r>
    </w:p>
    <w:p>
      <w:pPr>
        <w:pStyle w:val="ListParagraph"/>
        <w:numPr>
          <w:ilvl w:val="0"/>
          <w:numId w:val="1"/>
        </w:numPr>
        <w:rPr>
          <w:rFonts w:cs="Times New Roman"/>
          <w:color w:val="333333"/>
          <w:sz w:val="24"/>
          <w:szCs w:val="24"/>
          <w:shd w:val="clear" w:color="auto" w:fill="FFFFFF"/>
        </w:rPr>
      </w:pPr>
      <w:r>
        <w:rPr>
          <w:rFonts w:cs="Times New Roman"/>
          <w:color w:val="333333"/>
          <w:sz w:val="24"/>
          <w:szCs w:val="24"/>
          <w:shd w:val="clear" w:color="auto" w:fill="FFFFFF"/>
        </w:rPr>
        <w:t>Tổ chức, cá nhân nước ngoài không thuộc đối tượng quy định tại điểm a và điểm b khoản này, nhưng được miễn hoặc không phải nộp lệ phí trước bạ theo các cam kết quốc tế mà Cộng hòa xã hội chủ nghĩa Việt Nam là thành viên.</w:t>
      </w:r>
    </w:p>
    <w:p>
      <w:pPr>
        <w:pStyle w:val="ListParagraph"/>
        <w:rPr>
          <w:rFonts w:cs="Times New Roman"/>
          <w:color w:val="333333"/>
          <w:sz w:val="24"/>
          <w:szCs w:val="24"/>
        </w:rPr>
      </w:pPr>
      <w:r>
        <w:rPr>
          <w:rFonts w:cs="Times New Roman"/>
          <w:color w:val="333333"/>
          <w:sz w:val="24"/>
          <w:szCs w:val="24"/>
        </w:rPr>
        <w:br/>
      </w:r>
    </w:p>
    <w:p>
      <w:pPr>
        <w:rPr>
          <w:rFonts w:cs="Times New Roman"/>
          <w:color w:val="333333"/>
          <w:sz w:val="24"/>
          <w:szCs w:val="24"/>
          <w:shd w:val="clear" w:color="auto" w:fill="FFFFFF"/>
        </w:rPr>
      </w:pPr>
      <w:r>
        <w:rPr>
          <w:rFonts w:cs="Times New Roman"/>
          <w:color w:val="333333"/>
          <w:sz w:val="24"/>
          <w:szCs w:val="24"/>
          <w:shd w:val="clear" w:color="auto" w:fill="FFFFFF"/>
        </w:rPr>
        <w:t>3. Đất được Nhà nước giao hoặc cho thuê theo hình thức trả tiền thuê đất một lần cho cả thời gian thuê sử dụng vào các mục đích sau đây:</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 xml:space="preserve">- </w:t>
      </w:r>
      <w:r>
        <w:rPr>
          <w:rFonts w:cs="Times New Roman"/>
          <w:color w:val="333333"/>
          <w:sz w:val="24"/>
          <w:szCs w:val="24"/>
          <w:shd w:val="clear" w:color="auto" w:fill="FFFFFF"/>
        </w:rPr>
        <w:t>Sử dụng vào mục đích công cộng theo quy định của pháp luật về đất đai.</w:t>
      </w:r>
      <w:r>
        <w:rPr>
          <w:rFonts w:cs="Times New Roman"/>
          <w:color w:val="333333"/>
          <w:sz w:val="24"/>
          <w:szCs w:val="24"/>
        </w:rPr>
        <w:br/>
      </w:r>
      <w:r>
        <w:rPr>
          <w:rFonts w:cs="Times New Roman"/>
          <w:color w:val="333333"/>
          <w:sz w:val="24"/>
          <w:szCs w:val="24"/>
          <w:shd w:val="clear" w:color="auto" w:fill="FFFFFF"/>
        </w:rPr>
        <w:t xml:space="preserve">- </w:t>
      </w:r>
      <w:r>
        <w:rPr>
          <w:rFonts w:cs="Times New Roman"/>
          <w:color w:val="333333"/>
          <w:sz w:val="24"/>
          <w:szCs w:val="24"/>
          <w:shd w:val="clear" w:color="auto" w:fill="FFFFFF"/>
        </w:rPr>
        <w:t>Thăm dò, khai thác khoáng sản; nghiên cứu khoa học theo giấy phép hoặc xác nhận của cơ quan nhà nước có thẩm quyền.</w:t>
      </w:r>
      <w:r>
        <w:rPr>
          <w:rFonts w:cs="Times New Roman"/>
          <w:color w:val="333333"/>
          <w:sz w:val="24"/>
          <w:szCs w:val="24"/>
        </w:rPr>
        <w:br/>
      </w:r>
      <w:r>
        <w:rPr>
          <w:rFonts w:cs="Times New Roman"/>
          <w:color w:val="333333"/>
          <w:sz w:val="24"/>
          <w:szCs w:val="24"/>
          <w:shd w:val="clear" w:color="auto" w:fill="FFFFFF"/>
        </w:rPr>
        <w:t xml:space="preserve">- </w:t>
      </w:r>
      <w:r>
        <w:rPr>
          <w:rFonts w:cs="Times New Roman"/>
          <w:color w:val="333333"/>
          <w:sz w:val="24"/>
          <w:szCs w:val="24"/>
          <w:shd w:val="clear" w:color="auto" w:fill="FFFFFF"/>
        </w:rPr>
        <w:t>Đầu tư xây dựng kết cấu hạ tầng (không phân biệt đất trong hay ngoài khu công nghiệp, khu chế xuất), đầu tư xây dựng nhà để chuyển nhượng, bao gồm cả trường hợp tổ chức, cá nhân nhận chuyển nhượng để tiếp tục đầu tư xây dựng kết cấu hạ tầng, đầu tư xây dựng nhà để chuyển nhượng. Các trường hợp này nếu đăng ký quyền sở hữu, quyền sử dụng để cho thuê hoặc tự sử dụng thì phải nộp lệ phí trước bạ.</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4. Đất được Nhà nước giao, cho thuê hoặc công nhận sử dụng vào mục đích sản xuất nông nghiệp, lâm nghiệp, nuôi trồng thủy sản, làm muối.</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5. Đất nông nghiệp chuyển đổi quyền sử dụng giữa các hộ gia đình, cá nhân trong cùng xã, phường, thị trấn để thuận lợi cho sản xuất nông nghiệp theo quy định của Luật Đất đai.</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 xml:space="preserve">6. Đất nông nghiệp do hộ gia đình, cá nhân tự khai hoang phù hợp với quy hoạch sử dụng đất đã </w:t>
      </w:r>
      <w:r>
        <w:rPr>
          <w:rFonts w:cs="Times New Roman"/>
          <w:color w:val="333333"/>
          <w:sz w:val="24"/>
          <w:szCs w:val="24"/>
          <w:shd w:val="clear" w:color="auto" w:fill="FFFFFF"/>
        </w:rPr>
        <w:lastRenderedPageBreak/>
        <w:t>được cơ quan nhà nước có thẩm quyền phê duyệt, không có tranh chấp mà được cơ quan nhà nước có thẩm quyền cấp giấy chứng nhận quyền sử dụng đất.</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7. Đất thuê của Nhà nước theo hình thức trả tiền thuê đất hàng năm hoặc thuê của tổ chức, cá nhân đã có quyền sử dụng đất hợp pháp.</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8. Nhà, đất sử dụng vào mục đích cộng đồng của các tổ chức tôn giáo, cơ sở tín ngưỡng được Nhà nước công nhận hoặc được phép hoạt động.</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9. Đất làm nghĩa trang, nghĩa địa.</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10. Nhà, đất nhận thừa kế hoặc là quà tặng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 nay được cơ quan nhà nước có thẩm quyền cấp giấy chứng nhận quyền sử dụng đất, quyền sở hữu nhà ở và tài sản khác gắn liền với đất.</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11. Nhà ở của hộ gia đình, cá nhân tạo lập thông qua hình thức phát triển nhà ở riêng lẻ theo quy định của Luật Nhà ở.</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12. Tài sản cho thuê tài chính được chuyển quyền sở hữu cho bên thuê khi kết thúc thời hạn thuê thông qua việc nhượng, bán tài sản cho thuê thì bên thuê được miễn nộp lệ phí trước bạ; trường hợp công ty cho thuê tài chính mua tài sản của đơn vị có tài sản đã nộp lệ phí trước bạ sau đó cho chính đơn vị bán tài sản thuê lại thì công ty cho thuê tài chính được miễn nộp lệ phí trước bạ.</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13. Nhà, đất, tài sản đặc biệt, tài sản chuyên dùng, tài sản phục vụ công tác quản lý chuyên dùng phục vụ quốc phòng, an ninh.</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14. Nhà, đất thuộc tài sản công dùng làm trụ sở cơ quan của cơ quan nhà nước, đơn vị vũ trang nhân dân, đơn vị sự nghiệp công lập, tổ chức chính trị, tổ chức chính trị - xã hội, tổ chức chính trị xã hội - nghề nghiệp, tổ chức xã hội, tổ chức xã hội - nghề nghiệp.</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15. Nhà, đất được bồi thường, tái định cư (kể cả nhà, đất mua bằng tiền được bồi thường, hỗ trợ) khi Nhà nước thu hồi nhà, đất theo quy định của pháp luật.</w:t>
      </w:r>
      <w:r>
        <w:rPr>
          <w:rFonts w:cs="Times New Roman"/>
          <w:color w:val="333333"/>
          <w:sz w:val="24"/>
          <w:szCs w:val="24"/>
        </w:rPr>
        <w:br/>
      </w:r>
      <w:r>
        <w:rPr>
          <w:rFonts w:cs="Times New Roman"/>
          <w:color w:val="333333"/>
          <w:sz w:val="24"/>
          <w:szCs w:val="24"/>
          <w:shd w:val="clear" w:color="auto" w:fill="FFFFFF"/>
        </w:rPr>
        <w:t>Việc miễn lệ phí trước bạ quy định tại khoản này được áp dụng đối với đối tượng bị thu hồi nhà, đất.</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 xml:space="preserve">16. Tài sản của tổ chức, cá nhân đã được cấp giấy chứng nhận quyền sở hữu, sử dụng khi đăng </w:t>
      </w:r>
      <w:r>
        <w:rPr>
          <w:rFonts w:cs="Times New Roman"/>
          <w:color w:val="333333"/>
          <w:sz w:val="24"/>
          <w:szCs w:val="24"/>
          <w:shd w:val="clear" w:color="auto" w:fill="FFFFFF"/>
        </w:rPr>
        <w:lastRenderedPageBreak/>
        <w:t>ký lại quyền sở hữu, sử dụng được miễn nộp lệ phí trước bạ trong những trường hợp sau đây:</w:t>
      </w:r>
      <w:r>
        <w:rPr>
          <w:rFonts w:cs="Times New Roman"/>
          <w:color w:val="333333"/>
          <w:sz w:val="24"/>
          <w:szCs w:val="24"/>
        </w:rPr>
        <w:br/>
      </w:r>
      <w:r>
        <w:rPr>
          <w:rFonts w:cs="Times New Roman"/>
          <w:color w:val="333333"/>
          <w:sz w:val="24"/>
          <w:szCs w:val="24"/>
          <w:shd w:val="clear" w:color="auto" w:fill="FFFFFF"/>
        </w:rPr>
        <w:t>Tài sản đã được cơ quan có thẩm quyền của Nhà nước Việt Nam dân chủ cộng hòa, Chính phủ cách mạng lâm thời Cộng hòa miền Nam Việt Nam, Nhà nước Cộng hòa xã hội chủ nghĩa Việt Nam hoặc cơ quan có thẩm quyền thuộc chế độ cũ cấp giấy chứng nhận quyền sở hữu, sử dụng nay đổi giấy chứng nhận quyền sở hữu, sử dụng mới mà không thay đổi chủ sở hữu tài sản.</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Tài sản của doanh nghiệp nhà nước, đơn vị sự nghiệp công lập được cổ phần hóa thành công ty cổ phần hoặc các hình thức sắp xếp lại doanh nghiệp nhà nước, đơn vị sự nghiệp công lập theo quy định của pháp luật.</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Tài sản đã được cấp giấy chứng nhận quyền sở hữu, quyền sử dụng chung của hộ gia đình hoặc của các thành viên gia đình khi phân chia tài sản đó theo quy định của pháp luật cho các thành viên gia đình đăng ký lại; tài sản hợp nhất của vợ chồng sau khi kết hôn; tài sản phân chia cho vợ, chồng khi ly hôn theo bản án, quyết định có hiệu lực pháp luật của Tòa án.</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Tài sản của tổ chức, cá nhân đã được cấp giấy chứng nhận quyền sở hữu, sử dụng khi được cấp lại giấy chứng nhận quyền sở hữu, sử dụng tài sản do giấy chứng nhận bị mất, rách nát, ố, nhòe, hư hỏng. Tổ chức, cá nhân không phải kê khai, làm thủ tục miễn lệ phí trước bạ khi được cơ quan nhà nước có thẩm quyền cấp lại giấy chứng nhận quyền sở hữu, quyền sử dụng trong trường hợp này.</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Trường hợp khi cấp lại giấy chứng nhận quyền sử dụng đất có phát sinh chênh lệch diện tích đất tăng thêm nhưng ranh giới của thửa đất không thay đổi thì được miễn nộp lệ phí trước bạ đối với phần diện tích đất tăng thêm.</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Tổ chức, cá nhân được nhà nước giao đất và đã được cấp giấy chứng nhận quyền sử dụng đất, phải chuyển sang thuê đất trả tiền thuê đất một lần cho cả thời gian thuê theo quy định của Luật Đất đai từ ngày Nghị định này có hiệu lực thi hành.</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Trường hợp khi đăng ký lại quyền sử dụng đất do được Nhà nước cho phép chuyển mục đích sử dụng đất mà không thay đổi người có quyền sử dụng đất và không thuộc đối tượng phải nộp tiền sử dụng đất khi chuyển mục đích sử dụng đất theo quy định của pháp luật về thu tiền sử dụng đất.</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17. Tài sản của tổ chức, cá nhân đã nộp lệ phí trước bạ (trừ trường hợp được miễn nộp lệ phí trước bạ) chuyển cho tổ chức, cá nhân khác đăng ký quyền sở hữu, sử dụng được miễn nộp lệ phí trước bạ trong những trường hợp sau đây:</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 xml:space="preserve">Tổ chức, cá nhân, xã viên hợp tác xã đem tài sản của mình góp vốn vào doanh nghiệp, tổ chức </w:t>
      </w:r>
      <w:r>
        <w:rPr>
          <w:rFonts w:cs="Times New Roman"/>
          <w:color w:val="333333"/>
          <w:sz w:val="24"/>
          <w:szCs w:val="24"/>
          <w:shd w:val="clear" w:color="auto" w:fill="FFFFFF"/>
        </w:rPr>
        <w:lastRenderedPageBreak/>
        <w:t>tín dụng, hợp tác xã; doanh nghiệp, tổ chức tín dụng, hợp tác xã giải thể, phân chia hoặc rút vốn cho tổ chức, cá nhân thành viên đã góp trước đây.</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Tài sản của doanh nghiệp điều động trong nội bộ của doanh nghiệp đó hoặc cơ quan, đơn vị hành chính sự nghiệp điều động tài sản trong nội bộ một cơ quan, đơn vị dự toán theo quyết định của cấp có thẩm quyền.</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18. Tài sản của tổ chức, cá nhân đã nộp lệ phí trước bạ được chia hay góp do chia, tách, hợp nhất, sáp nhập, đổi tên tổ chức theo quyết định của cơ quan có thẩm quyền.</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19. Tài sản của tổ chức, cá nhân đã nộp lệ phí trước bạ chuyển đến địa phương nơi sử dụng mà không thay đổi chủ sở hữu.</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20. Nhà tình nghĩa, nhà đại đoàn kết, nhà được hỗ trợ mang tính chất nhân đạo, kể cả đất kèm theo nhà được đăng ký sở hữu, sử dụng tên người được tặng.</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21. Xe cứu hỏa, xe cứu thương, xe chiếu chụp X-quang, xe cứu hộ (bao gồm cả xe kéo xe, xe chở xe); xe chở rác, xe phun nước, xe tưới nước, xe xi téc phun nước, xe quét đường, xe hút bụi, xe hút chất thải; xe ô tô chuyên dùng, xe máy chuyên dùng cho thương binh, bệnh binh, người tàn tật đăng ký quyền sở hữu tên thương binh, bệnh binh, người tàn tật.</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22. Tàu bay sử dụng cho mục đích kinh doanh vận chuyển hàng hóa, hành khách.</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23. Tàu cá (bao gồm tàu đánh bắt nguồn lợi thủy sản, tàu hậu cần đánh bắt nguồn lợi thủy sản); vỏ, tổng thành máy, thân máy (block) của tàu cá được thay thế và phải đăng ký với cơ quan nhà nước có thẩm quyền.</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24. Vỏ, tổng thành khung, tổng thành máy, thân máy (block) quy định tại khoản 8 Điều 3 Nghị định này được thay thế và phải đăng ký lại trong thời hạn bảo hành.</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25. Nhà xưởng của cơ sở sản xuất; nhà kho, nhà ăn, nhà để xe của cơ sở sản xuất, kinh doanh. Nhà xưởng theo quy định tại khoản này được xác định theo pháp luật về phân cấp công trình xây dựng.</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26. Nhà ở, đất ở của hộ nghèo; nhà ở, đất ở của đồng bào dân tộc thiểu số ở các xã, phường, thị trấn thuộc vùng khó khăn, Tây Nguyên; nhà ở, đất ở của hộ gia đình, cá nhân ở các xã thuộc Chương trình phát triển kinh tế - xã hội các xã đặc biệt khó khăn, miền núi, vùng sâu, vùng xa.</w:t>
      </w:r>
    </w:p>
    <w:p>
      <w:pPr>
        <w:rPr>
          <w:rFonts w:cs="Times New Roman"/>
          <w:color w:val="333333"/>
          <w:sz w:val="24"/>
          <w:szCs w:val="24"/>
          <w:shd w:val="clear" w:color="auto" w:fill="FFFFFF"/>
        </w:rPr>
      </w:pPr>
      <w:r>
        <w:rPr>
          <w:rFonts w:cs="Times New Roman"/>
          <w:color w:val="333333"/>
          <w:sz w:val="24"/>
          <w:szCs w:val="24"/>
        </w:rPr>
        <w:lastRenderedPageBreak/>
        <w:br/>
      </w:r>
      <w:r>
        <w:rPr>
          <w:rFonts w:cs="Times New Roman"/>
          <w:color w:val="333333"/>
          <w:sz w:val="24"/>
          <w:szCs w:val="24"/>
          <w:shd w:val="clear" w:color="auto" w:fill="FFFFFF"/>
        </w:rPr>
        <w:t>27. Tàu thủy, thuyền không có động cơ, trọng tải toàn phần đến 15 tấn; tàu thủy, thuyền có động cơ tổng công suất máy chính đến 15 sức ngựa; tàu thủy, thuyền có sức chở người đến 12 người; tàu khách cao tốc (Tàu cao tốc chở khách), tàu thu gom rác và tàu thủy, thuyền vận tải công-ten-nơ.</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Các phương tiện nêu trên được xác định theo quy định của pháp luật về giao thông đường thủy nội địa và các văn bản hướng dẫn thi hành (kể cả vỏ, tổng thành khung, tổng thành máy, thân máy (block) tương ứng lắp thay thế vào các loại phương tiện này).</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28. Nhà, đất của các cơ sở thực hiện xã hội hóa trong các lĩnh vực giáo dục - đào tạo, dạy nghề; y tế; văn hóa; thể dục thể thao; môi trường theo quy định của pháp luật đăng ký quyền sử dụng đất, quyền sở hữu nhà phục vụ cho các hoạt động này.</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29. Nhà, đất của cơ sở ngoài công lập đăng ký quyền sử dụng đất, quyền sở hữu nhà phục vụ cho các hoạt động trong lĩnh vực giáo dục - đào tạo; y tế; văn hóa; thể dục thể thao; khoa học và công nghệ; môi trường; xã hội; dân số, gia đình, bảo vệ chăm sóc trẻ em theo quy định của pháp luật; trừ trường hợp quy định tại khoản 28 Điều này.</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30. Nhà, đất của doanh nghiệp khoa học và công nghệ đăng ký quyền sử dụng đất, quyền sở hữu nhà theo quy định của pháp luật.</w:t>
      </w:r>
    </w:p>
    <w:p>
      <w:pPr>
        <w:rPr>
          <w:rFonts w:cs="Times New Roman"/>
          <w:color w:val="333333"/>
          <w:sz w:val="24"/>
          <w:szCs w:val="24"/>
          <w:shd w:val="clear" w:color="auto" w:fill="FFFFFF"/>
        </w:rPr>
      </w:pPr>
      <w:r>
        <w:rPr>
          <w:rFonts w:cs="Times New Roman"/>
          <w:color w:val="333333"/>
          <w:sz w:val="24"/>
          <w:szCs w:val="24"/>
        </w:rPr>
        <w:br/>
      </w:r>
      <w:r>
        <w:rPr>
          <w:rFonts w:cs="Times New Roman"/>
          <w:color w:val="333333"/>
          <w:sz w:val="24"/>
          <w:szCs w:val="24"/>
          <w:shd w:val="clear" w:color="auto" w:fill="FFFFFF"/>
        </w:rPr>
        <w:t>31. Phương tiện vận tải hành khách công cộng bằng xe buýt sử dụng năng lượng sạch</w:t>
      </w:r>
    </w:p>
    <w:p>
      <w:pPr>
        <w:rPr>
          <w:rFonts w:cs="Times New Roman"/>
          <w:color w:val="333333"/>
          <w:sz w:val="24"/>
          <w:szCs w:val="24"/>
          <w:shd w:val="clear" w:color="auto" w:fill="FFFFFF"/>
        </w:rPr>
      </w:pPr>
    </w:p>
    <w:p>
      <w:pPr>
        <w:rPr>
          <w:rFonts w:cs="Times New Roman"/>
          <w:sz w:val="24"/>
          <w:szCs w:val="24"/>
        </w:rPr>
      </w:pPr>
      <w:r>
        <w:rPr>
          <w:rFonts w:cs="Times New Roman"/>
          <w:sz w:val="24"/>
          <w:szCs w:val="24"/>
        </w:rPr>
        <w:t>Nghị định 10/2022/NĐ-CP có hiệu lực từ ngày 01/03/2022, thay thế Nghị định 140/2016/NĐ-CP và Nghị định 20/2019/NĐ-CP về lệ phí trước bạ.</w:t>
      </w: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C2CC7"/>
    <w:multiLevelType w:val="hybridMultilevel"/>
    <w:tmpl w:val="3824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62598-8F99-41E7-A73C-4C52D359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2023-09-17T08:25:00Z</dcterms:created>
  <dcterms:modified xsi:type="dcterms:W3CDTF">2023-09-17T08:31:00Z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887465a2-2d4e-459d-8dab-dd8961263e77</vt:lpwstr>
  </property>
</Properties>
</file>